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TERMS OF REFERENCE FOR INDIVIDUAL CONSULTANT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16"/>
          <w:szCs w:val="16"/>
          <w:vertAlign w:val="baseline"/>
        </w:rPr>
      </w:pPr>
      <w:r w:rsidDel="00000000" w:rsidR="00000000" w:rsidRPr="00000000">
        <w:rPr>
          <w:rtl w:val="0"/>
        </w:rPr>
      </w:r>
    </w:p>
    <w:tbl>
      <w:tblPr>
        <w:tblStyle w:val="Table1"/>
        <w:tblW w:w="10440.0"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7710"/>
        <w:tblGridChange w:id="0">
          <w:tblGrid>
            <w:gridCol w:w="2730"/>
            <w:gridCol w:w="7710"/>
          </w:tblGrid>
        </w:tblGridChange>
      </w:tblGrid>
      <w:tr>
        <w:trPr>
          <w:trHeight w:val="216" w:hRule="atLeast"/>
        </w:trPr>
        <w:tc>
          <w:tcPr>
            <w:gridSpan w:val="2"/>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03">
            <w:pPr>
              <w:tabs>
                <w:tab w:val="left" w:pos="-720"/>
              </w:tabs>
              <w:spacing w:after="54" w:before="109"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TERMS OF REFERENCE  (to be completed by Hiring Office)</w:t>
            </w:r>
            <w:r w:rsidDel="00000000" w:rsidR="00000000" w:rsidRPr="00000000">
              <w:rPr>
                <w:rtl w:val="0"/>
              </w:rPr>
            </w:r>
          </w:p>
        </w:tc>
      </w:tr>
      <w:tr>
        <w:tc>
          <w:tcPr>
            <w:tcBorders>
              <w:top w:color="000000" w:space="0" w:sz="6" w:val="single"/>
              <w:left w:color="000000" w:space="0" w:sz="6" w:val="single"/>
              <w:bottom w:color="000000" w:space="0" w:sz="4" w:val="single"/>
            </w:tcBorders>
            <w:vAlign w:val="top"/>
          </w:tcPr>
          <w:p w:rsidR="00000000" w:rsidDel="00000000" w:rsidP="00000000" w:rsidRDefault="00000000" w:rsidRPr="00000000" w14:paraId="00000005">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Hiring Office:</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06">
            <w:pPr>
              <w:tabs>
                <w:tab w:val="left" w:pos="-720"/>
              </w:tabs>
              <w:spacing w:after="54" w:before="40" w:lineRule="auto"/>
              <w:rPr>
                <w:rFonts w:ascii="Arial" w:cs="Arial" w:eastAsia="Arial" w:hAnsi="Arial"/>
                <w:sz w:val="18"/>
                <w:szCs w:val="18"/>
                <w:highlight w:val="yellow"/>
                <w:vertAlign w:val="baseline"/>
              </w:rPr>
            </w:pPr>
            <w:r w:rsidDel="00000000" w:rsidR="00000000" w:rsidRPr="00000000">
              <w:rPr>
                <w:rtl w:val="0"/>
              </w:rPr>
            </w:r>
          </w:p>
          <w:p w:rsidR="00000000" w:rsidDel="00000000" w:rsidP="00000000" w:rsidRDefault="00000000" w:rsidRPr="00000000" w14:paraId="00000007">
            <w:pPr>
              <w:tabs>
                <w:tab w:val="left" w:pos="-720"/>
              </w:tabs>
              <w:spacing w:after="54" w:before="40" w:lineRule="auto"/>
              <w:rPr>
                <w:rFonts w:ascii="Arial" w:cs="Arial" w:eastAsia="Arial" w:hAnsi="Arial"/>
                <w:sz w:val="18"/>
                <w:szCs w:val="18"/>
                <w:highlight w:val="yellow"/>
                <w:vertAlign w:val="baseline"/>
              </w:rPr>
            </w:pPr>
            <w:r w:rsidDel="00000000" w:rsidR="00000000" w:rsidRPr="00000000">
              <w:rPr>
                <w:rFonts w:ascii="Arial" w:cs="Arial" w:eastAsia="Arial" w:hAnsi="Arial"/>
                <w:sz w:val="18"/>
                <w:szCs w:val="18"/>
                <w:vertAlign w:val="baseline"/>
                <w:rtl w:val="0"/>
              </w:rPr>
              <w:t xml:space="preserve">UNFPA Regional Office for Eastern Europe and Central Asia, Istanbul</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08">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Purpose of consultancy: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9">
            <w:pPr>
              <w:tabs>
                <w:tab w:val="left" w:pos="-720"/>
              </w:tabs>
              <w:spacing w:after="54" w:before="40" w:lineRule="auto"/>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The Consultant – Content Writer and Editor contributes to the implementation of effective communication strategies and activities in the region by providing support to relevant programme activities as per the approved outputs within the Regional Programme, with a focus on writing and editing.    </w:t>
            </w:r>
            <w:r w:rsidDel="00000000" w:rsidR="00000000" w:rsidRPr="00000000">
              <w:rPr>
                <w:rtl w:val="0"/>
              </w:rPr>
            </w:r>
          </w:p>
          <w:p w:rsidR="00000000" w:rsidDel="00000000" w:rsidP="00000000" w:rsidRDefault="00000000" w:rsidRPr="00000000" w14:paraId="0000000B">
            <w:pPr>
              <w:tabs>
                <w:tab w:val="left" w:pos="-720"/>
              </w:tabs>
              <w:spacing w:after="54" w:before="40" w:lineRule="auto"/>
              <w:rPr>
                <w:rFonts w:ascii="Calibri" w:cs="Calibri" w:eastAsia="Calibri" w:hAnsi="Calibri"/>
                <w:highlight w:val="yellow"/>
                <w:vertAlign w:val="baseline"/>
              </w:rPr>
            </w:pP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0C">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Scope of work:</w:t>
            </w:r>
          </w:p>
          <w:p w:rsidR="00000000" w:rsidDel="00000000" w:rsidP="00000000" w:rsidRDefault="00000000" w:rsidRPr="00000000" w14:paraId="0000000D">
            <w:pPr>
              <w:tabs>
                <w:tab w:val="left" w:pos="-720"/>
              </w:tabs>
              <w:spacing w:after="54" w:before="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E">
            <w:pPr>
              <w:tabs>
                <w:tab w:val="left" w:pos="-720"/>
              </w:tabs>
              <w:spacing w:after="54" w:before="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(Description of services, activities, or outputs)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Research, draft, and/or edit human interest feature stories, news items and press releases </w:t>
            </w:r>
          </w:p>
          <w:p w:rsidR="00000000" w:rsidDel="00000000" w:rsidP="00000000" w:rsidRDefault="00000000" w:rsidRPr="00000000" w14:paraId="00000010">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Edit materials such as issue briefs, reports, and public information materials</w:t>
            </w:r>
          </w:p>
          <w:p w:rsidR="00000000" w:rsidDel="00000000" w:rsidP="00000000" w:rsidRDefault="00000000" w:rsidRPr="00000000" w14:paraId="00000011">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Draft and/or edit speeches delivered by the Regional Director</w:t>
            </w:r>
          </w:p>
          <w:p w:rsidR="00000000" w:rsidDel="00000000" w:rsidP="00000000" w:rsidRDefault="00000000" w:rsidRPr="00000000" w14:paraId="00000012">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Develop posts for campaigns on various social media platforms, including for international days and events </w:t>
            </w:r>
          </w:p>
          <w:p w:rsidR="00000000" w:rsidDel="00000000" w:rsidP="00000000" w:rsidRDefault="00000000" w:rsidRPr="00000000" w14:paraId="00000013">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and lead on running the regional Twitter account</w:t>
            </w:r>
          </w:p>
          <w:p w:rsidR="00000000" w:rsidDel="00000000" w:rsidP="00000000" w:rsidRDefault="00000000" w:rsidRPr="00000000" w14:paraId="00000014">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Develop key messages and scripts for infographics, videos and other public information materials</w:t>
            </w:r>
          </w:p>
          <w:p w:rsidR="00000000" w:rsidDel="00000000" w:rsidP="00000000" w:rsidRDefault="00000000" w:rsidRPr="00000000" w14:paraId="00000015">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Revise existing, and develop new, content for the regional website</w:t>
            </w:r>
          </w:p>
          <w:p w:rsidR="00000000" w:rsidDel="00000000" w:rsidP="00000000" w:rsidRDefault="00000000" w:rsidRPr="00000000" w14:paraId="00000016">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the Regional Publications Committee</w:t>
            </w:r>
          </w:p>
          <w:p w:rsidR="00000000" w:rsidDel="00000000" w:rsidP="00000000" w:rsidRDefault="00000000" w:rsidRPr="00000000" w14:paraId="00000017">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Compile the regional newsletter</w:t>
            </w:r>
          </w:p>
          <w:p w:rsidR="00000000" w:rsidDel="00000000" w:rsidP="00000000" w:rsidRDefault="00000000" w:rsidRPr="00000000" w14:paraId="00000018">
            <w:pPr>
              <w:numPr>
                <w:ilvl w:val="0"/>
                <w:numId w:val="2"/>
              </w:numPr>
              <w:tabs>
                <w:tab w:val="left" w:pos="-720"/>
              </w:tabs>
              <w:spacing w:after="54" w:before="40" w:lineRule="auto"/>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related tasks as required</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19">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Duration and working schedule: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tabs>
                <w:tab w:val="left" w:pos="-720"/>
              </w:tabs>
              <w:spacing w:after="54" w:before="40" w:lineRule="auto"/>
              <w:rPr>
                <w:rFonts w:ascii="Calibri" w:cs="Calibri" w:eastAsia="Calibri" w:hAnsi="Calibri"/>
                <w:vertAlign w:val="baseline"/>
              </w:rPr>
            </w:pPr>
            <w:r w:rsidDel="00000000" w:rsidR="00000000" w:rsidRPr="00000000">
              <w:rPr>
                <w:rFonts w:ascii="Calibri" w:cs="Calibri" w:eastAsia="Calibri" w:hAnsi="Calibri"/>
                <w:rtl w:val="0"/>
              </w:rPr>
              <w:t xml:space="preserve">starting ASAP with contract expiring on </w:t>
            </w:r>
            <w:r w:rsidDel="00000000" w:rsidR="00000000" w:rsidRPr="00000000">
              <w:rPr>
                <w:rFonts w:ascii="Calibri" w:cs="Calibri" w:eastAsia="Calibri" w:hAnsi="Calibri"/>
                <w:vertAlign w:val="baseline"/>
                <w:rtl w:val="0"/>
              </w:rPr>
              <w:t xml:space="preserve">31 December 202</w:t>
            </w: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rtl w:val="0"/>
              </w:rPr>
              <w:t xml:space="preserve">with possibility of extension</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1B">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Place where services are to be delivered: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C">
            <w:pPr>
              <w:tabs>
                <w:tab w:val="left" w:pos="-720"/>
              </w:tabs>
              <w:spacing w:after="54" w:before="40" w:lineRule="auto"/>
              <w:rPr>
                <w:rFonts w:ascii="Calibri" w:cs="Calibri" w:eastAsia="Calibri" w:hAnsi="Calibri"/>
                <w:vertAlign w:val="baseline"/>
              </w:rPr>
            </w:pPr>
            <w:r w:rsidDel="00000000" w:rsidR="00000000" w:rsidRPr="00000000">
              <w:rPr>
                <w:rFonts w:ascii="Calibri" w:cs="Calibri" w:eastAsia="Calibri" w:hAnsi="Calibri"/>
                <w:rtl w:val="0"/>
              </w:rPr>
              <w:t xml:space="preserve">COVID permitting the person will work as part of the team based in Istanbul.  Remote working arrangements might be possible.</w:t>
            </w:r>
            <w:r w:rsidDel="00000000" w:rsidR="00000000" w:rsidRPr="00000000">
              <w:rPr>
                <w:rtl w:val="0"/>
              </w:rPr>
            </w:r>
          </w:p>
          <w:p w:rsidR="00000000" w:rsidDel="00000000" w:rsidP="00000000" w:rsidRDefault="00000000" w:rsidRPr="00000000" w14:paraId="0000001D">
            <w:pPr>
              <w:tabs>
                <w:tab w:val="left" w:pos="-720"/>
              </w:tabs>
              <w:spacing w:after="54" w:before="40" w:lineRule="auto"/>
              <w:rPr>
                <w:rFonts w:ascii="Calibri" w:cs="Calibri" w:eastAsia="Calibri" w:hAnsi="Calibri"/>
                <w:highlight w:val="yellow"/>
                <w:vertAlign w:val="baseline"/>
              </w:rPr>
            </w:pPr>
            <w:r w:rsidDel="00000000" w:rsidR="00000000" w:rsidRPr="00000000">
              <w:rPr>
                <w:rFonts w:ascii="Calibri" w:cs="Calibri" w:eastAsia="Calibri" w:hAnsi="Calibri"/>
                <w:rtl w:val="0"/>
              </w:rPr>
              <w:t xml:space="preserve">Travel and settlement costs as well as DSA or living allowance are not foreseen for this consultancy. </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1E">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Delivery dates and how work will be delivered (</w:t>
            </w:r>
            <w:r w:rsidDel="00000000" w:rsidR="00000000" w:rsidRPr="00000000">
              <w:rPr>
                <w:rFonts w:ascii="Arial" w:cs="Arial" w:eastAsia="Arial" w:hAnsi="Arial"/>
                <w:i w:val="1"/>
                <w:sz w:val="18"/>
                <w:szCs w:val="18"/>
                <w:vertAlign w:val="baseline"/>
                <w:rtl w:val="0"/>
              </w:rPr>
              <w:t xml:space="preserve">e.g.</w:t>
            </w:r>
            <w:r w:rsidDel="00000000" w:rsidR="00000000" w:rsidRPr="00000000">
              <w:rPr>
                <w:rFonts w:ascii="Arial" w:cs="Arial" w:eastAsia="Arial" w:hAnsi="Arial"/>
                <w:sz w:val="18"/>
                <w:szCs w:val="18"/>
                <w:vertAlign w:val="baseline"/>
                <w:rtl w:val="0"/>
              </w:rPr>
              <w:t xml:space="preserve"> electronic, hard copy etc.):</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tabs>
                <w:tab w:val="left" w:pos="-720"/>
              </w:tabs>
              <w:spacing w:after="54" w:before="40" w:lineRule="auto"/>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The work will generally be delivered electronically, via e-mail and online, based on the deadlines agreed in advance.  </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0">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Monitoring and progress control, including reporting requirements, periodicity format and deadline: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tabs>
                <w:tab w:val="left" w:pos="-720"/>
              </w:tabs>
              <w:spacing w:after="54" w:before="40" w:lineRule="auto"/>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The supervisor will set milestones and deadlines and monitor progress on an ongoing basis.</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2">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Supervisory arrangements: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tabs>
                <w:tab w:val="left" w:pos="-720"/>
              </w:tabs>
              <w:spacing w:after="54" w:before="40" w:lineRule="auto"/>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The Consultant will report directly to the UNFPA Regional Communications Adviser, who provides direction and guidance, certify delivery of outputs and evaluate performance.</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4">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Expected travel: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tabs>
                <w:tab w:val="left" w:pos="-720"/>
              </w:tabs>
              <w:spacing w:after="54" w:before="40" w:lineRule="auto"/>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None foreseen</w:t>
            </w: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6">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Required expertise, qualifications and competencies, including language requirements: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consultant should have the following educational background, qualifications and expertise:</w:t>
            </w:r>
          </w:p>
          <w:p w:rsidR="00000000" w:rsidDel="00000000" w:rsidP="00000000" w:rsidRDefault="00000000" w:rsidRPr="00000000" w14:paraId="00000028">
            <w:pPr>
              <w:ind w:left="1440" w:hanging="144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Education:</w:t>
            </w:r>
            <w:r w:rsidDel="00000000" w:rsidR="00000000" w:rsidRPr="00000000">
              <w:rPr>
                <w:rFonts w:ascii="Calibri" w:cs="Calibri" w:eastAsia="Calibri" w:hAnsi="Calibri"/>
                <w:vertAlign w:val="baseline"/>
                <w:rtl w:val="0"/>
              </w:rPr>
              <w:t xml:space="preserve"> </w:t>
              <w:tab/>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Advanced University degree (or equivalent) in communications, journalism, or related disciplines.</w:t>
            </w:r>
            <w:r w:rsidDel="00000000" w:rsidR="00000000" w:rsidRPr="00000000">
              <w:rPr>
                <w:rFonts w:ascii="Calibri" w:cs="Calibri" w:eastAsia="Calibri" w:hAnsi="Calibri"/>
                <w:b w:val="1"/>
                <w:vertAlign w:val="baseline"/>
                <w:rtl w:val="0"/>
              </w:rPr>
              <w:br w:type="textWrapping"/>
              <w:t xml:space="preserve">Experience:</w:t>
            </w:r>
            <w:r w:rsidDel="00000000" w:rsidR="00000000" w:rsidRPr="00000000">
              <w:rPr>
                <w:rFonts w:ascii="Calibri" w:cs="Calibri" w:eastAsia="Calibri" w:hAnsi="Calibri"/>
                <w:vertAlign w:val="baseline"/>
                <w:rtl w:val="0"/>
              </w:rPr>
              <w:tab/>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Minimum 5 years of experience as a journalist or writer for English language media or publications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Solid and demonstrable experience in report editing</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social media writing and engagement, especially Twitter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speech writing</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 experience with the UN and familiarity with the topics of gender equality, sexual and reproductive health and demographic change are considered strong assets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communication and writing skills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Initiative and demonstrated ability to work harmoniously with staff members from different national and cultural backgrounds. </w:t>
            </w:r>
          </w:p>
          <w:p w:rsidR="00000000" w:rsidDel="00000000" w:rsidP="00000000" w:rsidRDefault="00000000" w:rsidRPr="00000000" w14:paraId="0000003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spacing w:line="231" w:lineRule="auto"/>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Language</w:t>
            </w:r>
            <w:r w:rsidDel="00000000" w:rsidR="00000000" w:rsidRPr="00000000">
              <w:rPr>
                <w:rFonts w:ascii="Calibri" w:cs="Calibri" w:eastAsia="Calibri" w:hAnsi="Calibri"/>
                <w:vertAlign w:val="baseline"/>
                <w:rtl w:val="0"/>
              </w:rPr>
              <w:tab/>
              <w:t xml:space="preserve">    Fluency in English at native speaker level</w:t>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Requirements: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ind w:left="1440" w:hanging="144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Other:</w:t>
              <w:tab/>
            </w:r>
            <w:r w:rsidDel="00000000" w:rsidR="00000000" w:rsidRPr="00000000">
              <w:rPr>
                <w:rFonts w:ascii="Calibri" w:cs="Calibri" w:eastAsia="Calibri" w:hAnsi="Calibri"/>
                <w:vertAlign w:val="baseline"/>
                <w:rtl w:val="0"/>
              </w:rPr>
              <w:t xml:space="preserve">●  Excellent computer skills and ability to use information technology as a tool and resource.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Initiative, strong conceptual and analytical abilities, sound judgment, strong interest in development work, especially the mission of the United Nations Population Fund and dedication to the principles of the United Nations.</w:t>
            </w:r>
          </w:p>
          <w:p w:rsidR="00000000" w:rsidDel="00000000" w:rsidP="00000000" w:rsidRDefault="00000000" w:rsidRPr="00000000" w14:paraId="00000037">
            <w:pPr>
              <w:tabs>
                <w:tab w:val="left" w:pos="-720"/>
              </w:tabs>
              <w:spacing w:after="54" w:before="40" w:lineRule="auto"/>
              <w:rPr>
                <w:rFonts w:ascii="Calibri" w:cs="Calibri" w:eastAsia="Calibri" w:hAnsi="Calibri"/>
                <w:highlight w:val="yellow"/>
                <w:vertAlign w:val="baseline"/>
              </w:rPr>
            </w:pP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8">
            <w:pPr>
              <w:tabs>
                <w:tab w:val="left" w:pos="-720"/>
              </w:tabs>
              <w:spacing w:after="54" w:before="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Inputs / services to be provided by UNFPA or implementing partner (e.g support services, office space, equipment), if applicable: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tabs>
                <w:tab w:val="left" w:pos="-720"/>
              </w:tabs>
              <w:spacing w:after="54" w:before="40" w:lineRule="auto"/>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3A">
            <w:pPr>
              <w:tabs>
                <w:tab w:val="left" w:pos="-720"/>
              </w:tabs>
              <w:spacing w:after="54" w:before="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UNFPA will provide office space and necessary equipment.</w:t>
            </w:r>
          </w:p>
          <w:p w:rsidR="00000000" w:rsidDel="00000000" w:rsidP="00000000" w:rsidRDefault="00000000" w:rsidRPr="00000000" w14:paraId="0000003B">
            <w:pPr>
              <w:tabs>
                <w:tab w:val="left" w:pos="-720"/>
              </w:tabs>
              <w:spacing w:after="54" w:before="40" w:lineRule="auto"/>
              <w:rPr>
                <w:rFonts w:ascii="Calibri" w:cs="Calibri" w:eastAsia="Calibri" w:hAnsi="Calibri"/>
                <w:highlight w:val="yellow"/>
                <w:vertAlign w:val="baseline"/>
              </w:rPr>
            </w:pPr>
            <w:r w:rsidDel="00000000" w:rsidR="00000000" w:rsidRPr="00000000">
              <w:rPr>
                <w:rtl w:val="0"/>
              </w:rPr>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C">
            <w:pPr>
              <w:tabs>
                <w:tab w:val="left" w:pos="-72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relevant information or special conditions, if any: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D">
            <w:pPr>
              <w:tabs>
                <w:tab w:val="left"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tabs>
                <w:tab w:val="left"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fee will be paid on a monthly basis against certified attendance records and confirmation of satisfactory performance by the supervisor. </w:t>
            </w:r>
          </w:p>
          <w:p w:rsidR="00000000" w:rsidDel="00000000" w:rsidP="00000000" w:rsidRDefault="00000000" w:rsidRPr="00000000" w14:paraId="0000003F">
            <w:pPr>
              <w:tabs>
                <w:tab w:val="left"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tabs>
                <w:tab w:val="left"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cost of this consultancy will be covered under  COA:</w:t>
            </w:r>
          </w:p>
          <w:p w:rsidR="00000000" w:rsidDel="00000000" w:rsidP="00000000" w:rsidRDefault="00000000" w:rsidRPr="00000000" w14:paraId="00000041">
            <w:pPr>
              <w:tabs>
                <w:tab w:val="left" w:pos="-720"/>
              </w:tabs>
              <w:spacing w:after="54"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FPA80-19000-RECA8COM-ACT06EDITOR-PU0074</w:t>
            </w:r>
          </w:p>
          <w:p w:rsidR="00000000" w:rsidDel="00000000" w:rsidP="00000000" w:rsidRDefault="00000000" w:rsidRPr="00000000" w14:paraId="00000042">
            <w:pPr>
              <w:tabs>
                <w:tab w:val="left"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pos="-720"/>
              </w:tabs>
              <w:rPr>
                <w:rFonts w:ascii="Arial" w:cs="Arial" w:eastAsia="Arial" w:hAnsi="Arial"/>
                <w:sz w:val="20"/>
                <w:szCs w:val="20"/>
              </w:rPr>
            </w:pPr>
            <w:r w:rsidDel="00000000" w:rsidR="00000000" w:rsidRPr="00000000">
              <w:rPr>
                <w:rtl w:val="0"/>
              </w:rPr>
            </w:r>
          </w:p>
        </w:tc>
      </w:tr>
      <w:tr>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4">
            <w:pPr>
              <w:tabs>
                <w:tab w:val="left" w:pos="-720"/>
              </w:tabs>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45">
            <w:pPr>
              <w:tabs>
                <w:tab w:val="left" w:pos="-720"/>
              </w:tabs>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46">
            <w:pPr>
              <w:tabs>
                <w:tab w:val="left"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Requesting Officer in Hiring Office:  Jens-Hagen Eschenbaecher, Communication Adviser EECARO</w:t>
            </w:r>
          </w:p>
          <w:p w:rsidR="00000000" w:rsidDel="00000000" w:rsidP="00000000" w:rsidRDefault="00000000" w:rsidRPr="00000000" w14:paraId="00000047">
            <w:pPr>
              <w:tabs>
                <w:tab w:val="left"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tabs>
                <w:tab w:val="left"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Date: </w:t>
            </w:r>
          </w:p>
          <w:p w:rsidR="00000000" w:rsidDel="00000000" w:rsidP="00000000" w:rsidRDefault="00000000" w:rsidRPr="00000000" w14:paraId="00000049">
            <w:pPr>
              <w:tabs>
                <w:tab w:val="left" w:pos="-720"/>
              </w:tabs>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4A">
            <w:pPr>
              <w:tabs>
                <w:tab w:val="left" w:pos="-720"/>
              </w:tabs>
              <w:rPr>
                <w:rFonts w:ascii="Arial" w:cs="Arial" w:eastAsia="Arial" w:hAnsi="Arial"/>
                <w:sz w:val="16"/>
                <w:szCs w:val="16"/>
                <w:highlight w:val="yellow"/>
              </w:rPr>
            </w:pPr>
            <w:r w:rsidDel="00000000" w:rsidR="00000000" w:rsidRPr="00000000">
              <w:rPr>
                <w:rtl w:val="0"/>
              </w:rPr>
            </w:r>
          </w:p>
        </w:tc>
      </w:tr>
    </w:tbl>
    <w:p w:rsidR="00000000" w:rsidDel="00000000" w:rsidP="00000000" w:rsidRDefault="00000000" w:rsidRPr="00000000" w14:paraId="0000004C">
      <w:pPr>
        <w:rPr>
          <w:sz w:val="16"/>
          <w:szCs w:val="16"/>
          <w:vertAlign w:val="baseline"/>
        </w:rPr>
      </w:pPr>
      <w:r w:rsidDel="00000000" w:rsidR="00000000" w:rsidRPr="00000000">
        <w:rPr>
          <w:rtl w:val="0"/>
        </w:rPr>
      </w:r>
    </w:p>
    <w:sectPr>
      <w:pgSz w:h="16838" w:w="11906" w:orient="portrait"/>
      <w:pgMar w:bottom="720" w:top="5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jc w:val="both"/>
    </w:pPr>
    <w:rPr>
      <w:rFonts w:ascii="Palatino" w:cs="Palatino" w:eastAsia="Palatino" w:hAnsi="Palatino"/>
      <w:b w:val="1"/>
      <w:sz w:val="22"/>
      <w:szCs w:val="22"/>
      <w:vertAlign w:val="baseline"/>
    </w:rPr>
  </w:style>
  <w:style w:type="paragraph" w:styleId="Heading2">
    <w:name w:val="heading 2"/>
    <w:basedOn w:val="Normal"/>
    <w:next w:val="Normal"/>
    <w:pPr>
      <w:keepNext w:val="1"/>
      <w:widowControl w:val="0"/>
      <w:tabs>
        <w:tab w:val="left" w:pos="-720"/>
      </w:tabs>
      <w:jc w:val="center"/>
    </w:pPr>
    <w:rPr>
      <w:rFonts w:ascii="Palatino" w:cs="Palatino" w:eastAsia="Palatino" w:hAnsi="Palatino"/>
      <w:b w:val="1"/>
      <w:sz w:val="20"/>
      <w:szCs w:val="20"/>
      <w:vertAlign w:val="baseline"/>
    </w:rPr>
  </w:style>
  <w:style w:type="paragraph" w:styleId="Heading3">
    <w:name w:val="heading 3"/>
    <w:basedOn w:val="Normal"/>
    <w:next w:val="Normal"/>
    <w:pPr>
      <w:keepNext w:val="1"/>
      <w:tabs>
        <w:tab w:val="left" w:pos="-720"/>
      </w:tabs>
      <w:spacing w:after="54" w:before="109" w:lineRule="auto"/>
    </w:pPr>
    <w:rPr>
      <w:rFonts w:ascii="Palatino" w:cs="Palatino" w:eastAsia="Palatino" w:hAnsi="Palatino"/>
      <w:b w:val="1"/>
      <w:sz w:val="22"/>
      <w:szCs w:val="22"/>
      <w:vertAlign w:val="baseline"/>
    </w:rPr>
  </w:style>
  <w:style w:type="paragraph" w:styleId="Heading4">
    <w:name w:val="heading 4"/>
    <w:basedOn w:val="Normal"/>
    <w:next w:val="Normal"/>
    <w:pPr>
      <w:keepNext w:val="1"/>
      <w:jc w:val="right"/>
    </w:pPr>
    <w:rPr>
      <w:rFonts w:ascii="Palatino" w:cs="Palatino" w:eastAsia="Palatino" w:hAnsi="Palatino"/>
      <w:b w:val="1"/>
      <w:sz w:val="22"/>
      <w:szCs w:val="22"/>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jc w:val="both"/>
    </w:pPr>
    <w:rPr>
      <w:rFonts w:ascii="Palatino" w:cs="Palatino" w:eastAsia="Palatino" w:hAnsi="Palatino"/>
      <w:b w:val="1"/>
      <w:sz w:val="22"/>
      <w:szCs w:val="22"/>
      <w:vertAlign w:val="baseline"/>
    </w:rPr>
  </w:style>
  <w:style w:type="paragraph" w:styleId="Heading2">
    <w:name w:val="heading 2"/>
    <w:basedOn w:val="Normal"/>
    <w:next w:val="Normal"/>
    <w:pPr>
      <w:keepNext w:val="1"/>
      <w:widowControl w:val="0"/>
      <w:tabs>
        <w:tab w:val="left" w:pos="-720"/>
      </w:tabs>
      <w:jc w:val="center"/>
    </w:pPr>
    <w:rPr>
      <w:rFonts w:ascii="Palatino" w:cs="Palatino" w:eastAsia="Palatino" w:hAnsi="Palatino"/>
      <w:b w:val="1"/>
      <w:sz w:val="20"/>
      <w:szCs w:val="20"/>
      <w:vertAlign w:val="baseline"/>
    </w:rPr>
  </w:style>
  <w:style w:type="paragraph" w:styleId="Heading3">
    <w:name w:val="heading 3"/>
    <w:basedOn w:val="Normal"/>
    <w:next w:val="Normal"/>
    <w:pPr>
      <w:keepNext w:val="1"/>
      <w:tabs>
        <w:tab w:val="left" w:pos="-720"/>
      </w:tabs>
      <w:spacing w:after="54" w:before="109" w:lineRule="auto"/>
    </w:pPr>
    <w:rPr>
      <w:rFonts w:ascii="Palatino" w:cs="Palatino" w:eastAsia="Palatino" w:hAnsi="Palatino"/>
      <w:b w:val="1"/>
      <w:sz w:val="22"/>
      <w:szCs w:val="22"/>
      <w:vertAlign w:val="baseline"/>
    </w:rPr>
  </w:style>
  <w:style w:type="paragraph" w:styleId="Heading4">
    <w:name w:val="heading 4"/>
    <w:basedOn w:val="Normal"/>
    <w:next w:val="Normal"/>
    <w:pPr>
      <w:keepNext w:val="1"/>
      <w:jc w:val="right"/>
    </w:pPr>
    <w:rPr>
      <w:rFonts w:ascii="Palatino" w:cs="Palatino" w:eastAsia="Palatino" w:hAnsi="Palatino"/>
      <w:b w:val="1"/>
      <w:sz w:val="22"/>
      <w:szCs w:val="22"/>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tabs>
        <w:tab w:val="left" w:leader="none" w:pos="-720"/>
      </w:tabs>
      <w:suppressAutoHyphens w:val="0"/>
      <w:spacing w:line="1" w:lineRule="atLeast"/>
      <w:ind w:leftChars="-1" w:rightChars="0" w:firstLineChars="-1"/>
      <w:jc w:val="both"/>
      <w:textDirection w:val="btLr"/>
      <w:textAlignment w:val="top"/>
      <w:outlineLvl w:val="0"/>
    </w:pPr>
    <w:rPr>
      <w:rFonts w:ascii="Palatino" w:hAnsi="Palatino"/>
      <w:b w:val="1"/>
      <w:w w:val="100"/>
      <w:position w:val="-1"/>
      <w:sz w:val="22"/>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720"/>
      </w:tabs>
      <w:suppressAutoHyphens w:val="0"/>
      <w:spacing w:line="1" w:lineRule="atLeast"/>
      <w:ind w:leftChars="-1" w:rightChars="0" w:firstLineChars="-1"/>
      <w:jc w:val="center"/>
      <w:textDirection w:val="btLr"/>
      <w:textAlignment w:val="top"/>
      <w:outlineLvl w:val="1"/>
    </w:pPr>
    <w:rPr>
      <w:rFonts w:ascii="Palatino" w:hAnsi="Palatino"/>
      <w:b w:val="1"/>
      <w:w w:val="100"/>
      <w:position w:val="-1"/>
      <w:sz w:val="20"/>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720"/>
      </w:tabs>
      <w:suppressAutoHyphens w:val="0"/>
      <w:spacing w:after="54" w:before="109" w:line="1" w:lineRule="atLeast"/>
      <w:ind w:leftChars="-1" w:rightChars="0" w:firstLineChars="-1"/>
      <w:textDirection w:val="btLr"/>
      <w:textAlignment w:val="top"/>
      <w:outlineLvl w:val="2"/>
    </w:pPr>
    <w:rPr>
      <w:rFonts w:ascii="Palatino" w:hAnsi="Palatino"/>
      <w:b w:val="1"/>
      <w:w w:val="100"/>
      <w:position w:val="-1"/>
      <w:sz w:val="22"/>
      <w:szCs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3"/>
    </w:pPr>
    <w:rPr>
      <w:rFonts w:ascii="Palatino" w:hAnsi="Palatino"/>
      <w:b w:val="1"/>
      <w:w w:val="100"/>
      <w:position w:val="-1"/>
      <w:sz w:val="22"/>
      <w:szCs w:val="20"/>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tabs>
        <w:tab w:val="left" w:leader="none" w:pos="-720"/>
        <w:tab w:val="left" w:leader="none" w:pos="0"/>
      </w:tabs>
      <w:suppressAutoHyphens w:val="0"/>
      <w:spacing w:line="1" w:lineRule="atLeast"/>
      <w:ind w:leftChars="-1" w:rightChars="0" w:firstLineChars="-1"/>
      <w:jc w:val="both"/>
      <w:textDirection w:val="btLr"/>
      <w:textAlignment w:val="top"/>
      <w:outlineLvl w:val="0"/>
    </w:pPr>
    <w:rPr>
      <w:rFonts w:ascii="Palatino" w:hAnsi="Palatino"/>
      <w:w w:val="100"/>
      <w:position w:val="-1"/>
      <w:sz w:val="22"/>
      <w:szCs w:val="20"/>
      <w:effect w:val="none"/>
      <w:vertAlign w:val="baseline"/>
      <w:cs w:val="0"/>
      <w:em w:val="none"/>
      <w:lang w:bidi="ar-SA" w:eastAsia="en-US" w:val="en-US"/>
    </w:rPr>
  </w:style>
  <w:style w:type="paragraph" w:styleId="EndnoteText">
    <w:name w:val="Endnote Text"/>
    <w:basedOn w:val="Normal"/>
    <w:next w:val="EndnoteTex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autoSpaceDE w:val="0"/>
      <w:autoSpaceDN w:val="0"/>
      <w:spacing w:after="240" w:line="1" w:lineRule="atLeast"/>
      <w:ind w:leftChars="-1" w:rightChars="0" w:firstLineChars="-1"/>
      <w:jc w:val="center"/>
      <w:textDirection w:val="btLr"/>
      <w:textAlignment w:val="top"/>
      <w:outlineLvl w:val="0"/>
    </w:pPr>
    <w:rPr>
      <w:rFonts w:ascii="Arial" w:cs="Arial" w:hAnsi="Arial"/>
      <w:b w:val="1"/>
      <w:bCs w:val="1"/>
      <w:spacing w:val="-2"/>
      <w:w w:val="100"/>
      <w:position w:val="-1"/>
      <w:sz w:val="24"/>
      <w:szCs w:val="24"/>
      <w:effect w:val="none"/>
      <w:vertAlign w:val="baseline"/>
      <w:cs w:val="0"/>
      <w:em w:val="none"/>
      <w:lang w:bidi="ar-SA" w:eastAsia="es-ES" w:val="es-MX"/>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Bulleted">
    <w:name w:val="Style Bulleted"/>
    <w:basedOn w:val="NoList"/>
    <w:next w:val="StyleBulleted"/>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indent1">
    <w:name w:val="indent1"/>
    <w:basedOn w:val="Normal"/>
    <w:next w:val="indent1"/>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Times" w:hAnsi="Times"/>
      <w:w w:val="100"/>
      <w:position w:val="-1"/>
      <w:sz w:val="24"/>
      <w:szCs w:val="24"/>
      <w:effect w:val="none"/>
      <w:vertAlign w:val="baseline"/>
      <w:cs w:val="0"/>
      <w:em w:val="none"/>
      <w:lang w:bidi="ar-SA" w:eastAsia="zh-CN"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harCharCharCharCharCharChar">
    <w:name w:val="Char Char Char Char Char Char Char"/>
    <w:basedOn w:val="Normal"/>
    <w:next w:val="CharCharCharCharCharCharChar"/>
    <w:autoRedefine w:val="0"/>
    <w:hidden w:val="0"/>
    <w:qFormat w:val="0"/>
    <w:pPr>
      <w:suppressAutoHyphens w:val="1"/>
      <w:spacing w:after="160" w:before="120" w:line="240" w:lineRule="atLeast"/>
      <w:ind w:leftChars="-1" w:rightChars="0" w:firstLineChars="-1"/>
      <w:textDirection w:val="btLr"/>
      <w:textAlignment w:val="top"/>
      <w:outlineLvl w:val="0"/>
    </w:pPr>
    <w:rPr>
      <w:rFonts w:ascii="Verdana" w:cs="Arial" w:hAnsi="Verdana"/>
      <w:w w:val="100"/>
      <w:position w:val="-1"/>
      <w:sz w:val="20"/>
      <w:szCs w:val="20"/>
      <w:effect w:val="none"/>
      <w:vertAlign w:val="baseline"/>
      <w:cs w:val="0"/>
      <w:em w:val="none"/>
      <w:lang w:bidi="ar-SA" w:eastAsia="en-US" w:val="en-US"/>
    </w:rPr>
  </w:style>
  <w:style w:type="paragraph"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next w:val="DefaultParagraphFontCharChar,DefaultParagraphFontParaCharCharCharChar,DefaultParagraphFontCharChar11,DefaultParagraphFontCharChar1Char"/>
    <w:autoRedefine w:val="0"/>
    <w:hidden w:val="0"/>
    <w:qFormat w:val="0"/>
    <w:pPr>
      <w:suppressAutoHyphens w:val="1"/>
      <w:spacing w:after="160" w:line="240"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77.0" w:type="dxa"/>
        <w:bottom w:w="0.0" w:type="dxa"/>
        <w:right w:w="177.0" w:type="dxa"/>
      </w:tblCellMar>
    </w:tbl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77.0" w:type="dxa"/>
        <w:bottom w:w="0.0" w:type="dxa"/>
        <w:right w:w="1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Z9xYdBeIS6vazYQWenazhCOr8g==">AMUW2mUEHz23iyXUdRMv6cUIiOmEDfrpugth/Vfuob6dBrrx7aFx55bBvAZd3r3vNHMp2PmktEVCF/aR82NQ+q9wEFOc7wmRiX9DH5LjjYT+W5hMrCYd8PD9fZQkQxy0aNXC4/0WmS6Rqf4uDJP5TmPtt73HDpIJGDMfF66DsHGQt8cNWruAiAs=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2021-01-06T18:48:00Z</dcterms:created>
  <dc:creator>Deborah Gimona</dc:creator>
</cp:coreProperties>
</file>